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192"/>
        <w:jc w:val="center"/>
        <w:rPr>
          <w:b/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СОВЕТ ДЕПУТАТОВ МУНИЦИПАЛЬНОГО ОБРАЗОВАНИЯ</w:t>
      </w:r>
    </w:p>
    <w:p>
      <w:pPr>
        <w:pStyle w:val="Normal"/>
        <w:spacing w:lineRule="auto" w:line="192"/>
        <w:jc w:val="center"/>
        <w:rPr>
          <w:b/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«ТЕРЕНЬГУЛЬСКИЙ РАЙОН»</w:t>
      </w:r>
    </w:p>
    <w:p>
      <w:pPr>
        <w:pStyle w:val="Normal"/>
        <w:spacing w:lineRule="auto" w:line="192"/>
        <w:jc w:val="center"/>
        <w:rPr>
          <w:b/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УЛЬЯНОВСКОЙ ОБЛАСТИ</w:t>
      </w:r>
    </w:p>
    <w:p>
      <w:pPr>
        <w:pStyle w:val="Normal"/>
        <w:rPr>
          <w:b/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95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4800"/>
        <w:gridCol w:w="2018"/>
      </w:tblGrid>
      <w:tr>
        <w:trPr>
          <w:trHeight w:val="567" w:hRule="atLeast"/>
        </w:trPr>
        <w:tc>
          <w:tcPr>
            <w:tcW w:w="2760" w:type="dxa"/>
            <w:tcBorders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 ноября 2021г.</w:t>
            </w:r>
          </w:p>
        </w:tc>
        <w:tc>
          <w:tcPr>
            <w:tcW w:w="4800" w:type="dxa"/>
            <w:tcBorders/>
            <w:vAlign w:val="bottom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18" w:type="dxa"/>
            <w:tcBorders/>
            <w:vAlign w:val="bottom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38/42</w:t>
            </w:r>
          </w:p>
        </w:tc>
      </w:tr>
      <w:tr>
        <w:trPr>
          <w:trHeight w:val="567" w:hRule="atLeast"/>
        </w:trPr>
        <w:tc>
          <w:tcPr>
            <w:tcW w:w="9578" w:type="dxa"/>
            <w:gridSpan w:val="3"/>
            <w:tcBorders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Экз. № _____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р.п. Тереньга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autoSpaceDE w:val="false"/>
        <w:spacing w:lineRule="auto" w:line="204"/>
        <w:jc w:val="center"/>
        <w:rPr/>
      </w:pPr>
      <w:r>
        <w:rPr>
          <w:b/>
          <w:sz w:val="28"/>
          <w:szCs w:val="28"/>
        </w:rPr>
        <w:t>Об утверждении Положения   о</w:t>
      </w:r>
      <w:r>
        <w:rPr>
          <w:b/>
          <w:bCs/>
          <w:sz w:val="28"/>
          <w:szCs w:val="28"/>
        </w:rPr>
        <w:t xml:space="preserve"> контрольно-счетной палате </w:t>
      </w:r>
    </w:p>
    <w:p>
      <w:pPr>
        <w:pStyle w:val="Normal"/>
        <w:autoSpaceDE w:val="false"/>
        <w:spacing w:lineRule="auto" w:line="20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«Тереньгульский район»</w:t>
      </w:r>
    </w:p>
    <w:p>
      <w:pPr>
        <w:pStyle w:val="Normal"/>
        <w:spacing w:lineRule="auto" w:line="20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pStyle w:val="Normal"/>
        <w:spacing w:lineRule="auto" w:line="204"/>
        <w:jc w:val="both"/>
        <w:rPr/>
      </w:pPr>
      <w:r>
        <w:rPr>
          <w:sz w:val="28"/>
          <w:szCs w:val="28"/>
        </w:rPr>
        <w:tab/>
      </w:r>
      <w:r>
        <w:rPr>
          <w:rFonts w:cs="PT Astra Serif" w:ascii="PT Astra Serif" w:hAnsi="PT Astra Serif"/>
          <w:sz w:val="28"/>
          <w:szCs w:val="28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Федеральным законом от 07.02.2011 N 6-ФЗ, «Об общих принципах организации и деятельности контрольно-счетных органов субъектов Российской Федерации и муниципальных образований», Законом Ульяновской области от 23.12.2011 № 230-ЗО «О регулировании некоторых вопросов организации и деятельности контрольно-счетных органов муниципальных образований Ульяновской области»,</w:t>
      </w:r>
      <w:r>
        <w:rPr>
          <w:sz w:val="28"/>
          <w:szCs w:val="28"/>
        </w:rPr>
        <w:t xml:space="preserve"> ст. 44 Устава муниципального образования «Тереньгульский район»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муниципального образовния «Тереньгульский район» р е ш и л:</w:t>
      </w:r>
    </w:p>
    <w:p>
      <w:pPr>
        <w:pStyle w:val="Normal"/>
        <w:autoSpaceDE w:val="false"/>
        <w:spacing w:lineRule="auto" w:line="204"/>
        <w:jc w:val="both"/>
        <w:rPr/>
      </w:pPr>
      <w:r>
        <w:rPr>
          <w:sz w:val="28"/>
          <w:szCs w:val="28"/>
        </w:rPr>
        <w:tab/>
        <w:t>1.Утвердить прилагаемое Положение о</w:t>
      </w:r>
      <w:r>
        <w:rPr>
          <w:bCs/>
          <w:sz w:val="28"/>
          <w:szCs w:val="28"/>
        </w:rPr>
        <w:t xml:space="preserve"> контрольно-счетной палате муниципального образования «Тереньгульский район»</w:t>
      </w:r>
      <w:r>
        <w:rPr>
          <w:sz w:val="28"/>
          <w:szCs w:val="28"/>
        </w:rPr>
        <w:t xml:space="preserve"> (прилагается).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решение Совета депутатов МО «Тереньгульский район» №28/54 от 22.09.2011 «Об утверждении Положения о контрольно-счетной комиссии Совета депутатов муниципального образования «Тереньгульский район».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  вступает в силу с 01.01.2022 и подлежит опубликованию в газете «Тереньгульские вести».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spacing w:lineRule="auto" w:line="204"/>
        <w:jc w:val="both"/>
        <w:rPr>
          <w:sz w:val="28"/>
          <w:szCs w:val="28"/>
        </w:rPr>
      </w:pPr>
      <w:r>
        <w:rPr>
          <w:sz w:val="28"/>
          <w:szCs w:val="28"/>
        </w:rPr>
        <w:t>«Тереньгульский район»                                                                            П.А.Иванов</w:t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13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3379"/>
        <w:gridCol w:w="3379"/>
      </w:tblGrid>
      <w:tr>
        <w:trPr/>
        <w:tc>
          <w:tcPr>
            <w:tcW w:w="3379" w:type="dxa"/>
            <w:tcBorders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379" w:type="dxa"/>
            <w:tcBorders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Приложение</w:t>
            </w:r>
          </w:p>
          <w:p>
            <w:pPr>
              <w:pStyle w:val="Normal"/>
              <w:jc w:val="center"/>
              <w:rPr/>
            </w:pPr>
            <w:r>
              <w:rPr/>
              <w:t>к решению Совета депутатов</w:t>
            </w:r>
          </w:p>
          <w:p>
            <w:pPr>
              <w:pStyle w:val="Normal"/>
              <w:jc w:val="center"/>
              <w:rPr/>
            </w:pPr>
            <w:r>
              <w:rPr/>
              <w:t>МО «Тереньгульский район»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11.11.2021 № 38/42</w:t>
            </w:r>
          </w:p>
        </w:tc>
      </w:tr>
    </w:tbl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0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контрольно-счетной палате муниципального </w:t>
      </w:r>
    </w:p>
    <w:p>
      <w:pPr>
        <w:pStyle w:val="Normal"/>
        <w:autoSpaceDE w:val="false"/>
        <w:spacing w:lineRule="auto" w:line="20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«Тереньгульский район»</w:t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bidi w:val="0"/>
        <w:ind w:left="0" w:right="0" w:hanging="0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>Статья 1. Общие положения</w:t>
      </w:r>
    </w:p>
    <w:p>
      <w:pPr>
        <w:pStyle w:val="ConsPlusNormal"/>
        <w:bidi w:val="0"/>
        <w:spacing w:lineRule="auto" w:line="204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</w:r>
    </w:p>
    <w:p>
      <w:pPr>
        <w:pStyle w:val="ConsPlusNormal"/>
        <w:bidi w:val="0"/>
        <w:spacing w:lineRule="auto" w:line="204" w:before="0" w:after="0"/>
        <w:ind w:left="0" w:right="0" w:firstLine="539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1.1. Контрольно-счетная палата муниципального образования «Тереньгульский район» (далее - Контрольно-счетная палата) является постоянно действующим органом внешнего муниципального финансового контроля и подотчетна Совету депутатов муниципального образования «Тереньгульский район». Деятельность Контрольно-счетной палаты не может быть приостановлена, в том числе в связи с досрочным прекращением полномочий Совета депутатов муниципального образования «Тереньгульский район».</w:t>
      </w:r>
    </w:p>
    <w:p>
      <w:pPr>
        <w:pStyle w:val="ConsPlusNormal"/>
        <w:bidi w:val="0"/>
        <w:spacing w:lineRule="auto" w:line="204" w:before="0" w:after="0"/>
        <w:ind w:left="0" w:right="0" w:firstLine="53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1.2. Контрольно-счетная палата при осуществлении внешнего муниципального финансового контроля руководствуется </w:t>
      </w:r>
      <w:hyperlink r:id="rId2">
        <w:r>
          <w:rPr>
            <w:rFonts w:cs="PT Astra Serif" w:ascii="PT Astra Serif" w:hAnsi="PT Astra Serif"/>
            <w:b w:val="false"/>
            <w:bCs w:val="false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 Российской Федерации, законодательством Российской Федерации, законодательством Ульяновской области, муниципальными нормативными правовыми актами муниципального образования «Тереньгульский район» и утвержденными Контрольно-счетной палатой стандартами внешнего муниципального финансового контроля.</w:t>
      </w:r>
    </w:p>
    <w:p>
      <w:pPr>
        <w:pStyle w:val="Normal"/>
        <w:autoSpaceDE w:val="false"/>
        <w:spacing w:lineRule="auto" w:line="204" w:before="0" w:after="0"/>
        <w:ind w:left="0" w:right="0" w:firstLine="567"/>
        <w:jc w:val="both"/>
        <w:rPr/>
      </w:pPr>
      <w:r>
        <w:rPr>
          <w:b w:val="false"/>
          <w:bCs w:val="false"/>
          <w:color w:val="auto"/>
          <w:sz w:val="28"/>
          <w:szCs w:val="28"/>
        </w:rPr>
        <w:t xml:space="preserve">1.3.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Контрольно-счетная палата является юридическим лицом, имеет печать и бланки со своим наименованием и с изображением герба муниципального образования «Тереньгульский район».</w:t>
      </w:r>
    </w:p>
    <w:p>
      <w:pPr>
        <w:pStyle w:val="ConsPlusNormal"/>
        <w:bidi w:val="0"/>
        <w:spacing w:lineRule="auto" w:line="204" w:before="0" w:after="0"/>
        <w:ind w:left="0" w:right="0" w:firstLine="539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1.4.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>
      <w:pPr>
        <w:pStyle w:val="ConsPlusNormal"/>
        <w:autoSpaceDE w:val="false"/>
        <w:bidi w:val="0"/>
        <w:spacing w:lineRule="auto" w:line="204" w:before="0" w:after="0"/>
        <w:ind w:left="0" w:right="0" w:firstLine="539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1.5.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>
      <w:pPr>
        <w:pStyle w:val="ConsPlusNormal"/>
        <w:autoSpaceDE w:val="false"/>
        <w:bidi w:val="0"/>
        <w:spacing w:lineRule="auto" w:line="204" w:before="0" w:after="0"/>
        <w:ind w:left="0" w:right="0" w:firstLine="54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1.6. Полное наименование Контрольно-счетной палаты: "Контрольно-счетная палата муниципального образования «Тереньгульский район». Сокращенное наименование Контрольно-счетной палаты: Контрольно-счетная палата МО «Тереньгульский район».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1.7. Местонахождение Контрольно-счетной палаты: Ульяновская область, Тереньгульский район, р.п.Тереньга, ул.Ульяновская, д.24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1.8. Почтовый адрес: 433360, Ульяновская область, Тереньгульский район, р.п.Тереньга, ул.Ульяновская, д.24.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Статья 2. Состав и порядок формирования Контрольно-счетной палаты</w:t>
      </w:r>
    </w:p>
    <w:p>
      <w:pPr>
        <w:pStyle w:val="ConsPlusNormal"/>
        <w:bidi w:val="0"/>
        <w:spacing w:lineRule="auto" w:line="204" w:before="0"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2.1. Контрольно-счетная палата состоит из Председателя и аппарата.</w:t>
      </w:r>
    </w:p>
    <w:p>
      <w:pPr>
        <w:pStyle w:val="ConsPlusNormal"/>
        <w:autoSpaceDE w:val="false"/>
        <w:bidi w:val="0"/>
        <w:spacing w:lineRule="auto" w:line="204" w:before="0" w:after="0"/>
        <w:ind w:left="0" w:right="0" w:firstLine="54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2.2.Должность председателя Контрольно-счетной палаты  относится к муниципальной должности муниципального образования «Тереньгульский район».</w:t>
      </w:r>
    </w:p>
    <w:p>
      <w:pPr>
        <w:pStyle w:val="ConsPlusNormal"/>
        <w:autoSpaceDE w:val="false"/>
        <w:bidi w:val="0"/>
        <w:spacing w:lineRule="auto" w:line="204" w:before="0" w:after="0"/>
        <w:ind w:left="0" w:right="0" w:firstLine="54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2.3.В состав аппарата Контрольно-счетной палаты входят инспекторы и иные штатные работники, в том числе работники, замещающие должности, не отнесенные к должностям муниципальной службы, муниципальным должностям.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>
      <w:pPr>
        <w:pStyle w:val="ConsPlusTitle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2.4. Штатная численность Контрольно-счетной палаты определяется решением Совета депутатов МО «Тереньгульский район»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</w:t>
      </w:r>
    </w:p>
    <w:p>
      <w:pPr>
        <w:pStyle w:val="ConsPlusTitle"/>
        <w:autoSpaceDE w:val="false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Структура и штатное расписание Контрольно-счетной палаты утверждаются Председателем Контрольно-счетной палаты. </w:t>
      </w:r>
    </w:p>
    <w:p>
      <w:pPr>
        <w:pStyle w:val="Normal"/>
        <w:autoSpaceDE w:val="false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2.5.  Председатель Контрольно-счетной палаты назначается на должность Советом депутатов МО «Тереньгульский район».</w:t>
      </w:r>
    </w:p>
    <w:p>
      <w:pPr>
        <w:pStyle w:val="ConsPlusTitle"/>
        <w:autoSpaceDE w:val="false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2.6. Срок полномочий Председателя Контрольно-счетной палаты составляет 5 лет.</w:t>
      </w:r>
    </w:p>
    <w:p>
      <w:pPr>
        <w:pStyle w:val="Normal"/>
        <w:autoSpaceDE w:val="false"/>
        <w:spacing w:lineRule="auto" w:line="204" w:before="0" w:after="0"/>
        <w:ind w:left="0" w:right="0" w:firstLine="540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2.7. </w:t>
      </w:r>
      <w:bookmarkStart w:id="0" w:name="Par0"/>
      <w:bookmarkEnd w:id="0"/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Предложения о кандидатурах на должность Председателя Контрольно-счетной палаты вносятся в Совет депутатов МО «Тереньгульский район»:</w:t>
      </w:r>
    </w:p>
    <w:p>
      <w:pPr>
        <w:pStyle w:val="Normal"/>
        <w:autoSpaceDE w:val="false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депутатами Совета депутатов МО «Тереньгульский район» - не менее одной трети от установленного числа депутатов Совета депутатов МО «Тереньгульский район»;</w:t>
      </w:r>
    </w:p>
    <w:p>
      <w:pPr>
        <w:pStyle w:val="Normal"/>
        <w:autoSpaceDE w:val="false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Главой муниципального образования «Тереньгульский район».</w:t>
      </w:r>
    </w:p>
    <w:p>
      <w:pPr>
        <w:pStyle w:val="Normal"/>
        <w:autoSpaceDE w:val="false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Порядок рассмотрения кандидатур на должность председателя контрольно-счетной палаты устанавливается согласно приложению к настоящему Положению.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Совет депутатов муниципального образования «Тереньгульский район» определяет даты начала и окончания внесения предложений о кандидатурах на должность Председателя Контрольно-счётной палаты, проверяет соответствие внесенных кандидатур на соответствующие должности установленным квалификационным требованиям в течение 10 рабочих дней с даты окончания внесения предложений и выносит вопрос о рассмотрении кандидатур на очередное после даты завершения проверки заседание 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Ульяновской области. 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Совет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Ульяновской области вправе обратиться в Счётную палату Ульяновской области за заключением о соответствии кандидатур на должность Председателя Контрольно-счётной палаты квалификационным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образований». 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Председатель Контрольно-счётной палаты назначается на должность решением 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путем проведения открытого голосования простым большинством голосов от установленного числа депутатов.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случае отклонения Советом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всех внесенных на вакантную должность Председателя Контрольно-счётной палаты кандидатур лица, уполномоченные вносить предложения о кандидатурах, в установленный Советом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срок вносят новую кандидатуру. При этом они вправе вновь представить на рассмотрение 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кандидатуру либо внести другую кандидатуру.</w:t>
      </w:r>
    </w:p>
    <w:p>
      <w:pPr>
        <w:pStyle w:val="ConsPlusNormal"/>
        <w:autoSpaceDE w:val="false"/>
        <w:bidi w:val="0"/>
        <w:spacing w:lineRule="auto" w:line="204" w:before="0" w:after="0"/>
        <w:ind w:left="0" w:right="0" w:firstLine="709"/>
        <w:jc w:val="both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Председатель Контрольно-счётной палаты освобождается от должности решением Совета депутатов муниципального образования «Тереньгульский район» Ульяновской области в случаях, предусмотренных частью 5 статьи 8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Статья 3. Квалификационные требования к кандидатурам на должность председателя Контрольно-счетной палаты</w:t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 должность председателя контрольно-счётной палаты назначаются граждане Российской Федерации, соответствующие следующим квалификационным требованиям: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наличие высшего образования;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утвержденных Счётной палатой Российской Федерации.</w:t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>Статья 4.Организация деятельности Контрольно-счетной палаты</w:t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</w:r>
    </w:p>
    <w:p>
      <w:pPr>
        <w:pStyle w:val="Normal"/>
        <w:autoSpaceDE w:val="false"/>
        <w:spacing w:lineRule="auto" w:line="204" w:before="0" w:after="0"/>
        <w:ind w:left="0" w:right="0" w:firstLine="360"/>
        <w:jc w:val="both"/>
        <w:rPr/>
      </w:pPr>
      <w:r>
        <w:rPr>
          <w:rFonts w:eastAsia="PT Astra Serif" w:cs="PT Astra Serif" w:ascii="PT Astra Serif" w:hAnsi="PT Astra Serif"/>
          <w:color w:val="auto"/>
          <w:sz w:val="28"/>
          <w:szCs w:val="28"/>
        </w:rPr>
        <w:t xml:space="preserve">  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4.1. Контрольно-счетную палату возглавляет Председатель Контрольно-счетной палаты. </w:t>
      </w:r>
    </w:p>
    <w:p>
      <w:pPr>
        <w:pStyle w:val="Normal"/>
        <w:autoSpaceDE w:val="false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>4.2.В случае досрочного освобождения от должности Председателя контрольно-счетной палаты его должностные обязанности исполняет инспектор.</w:t>
      </w:r>
    </w:p>
    <w:p>
      <w:pPr>
        <w:pStyle w:val="Normal"/>
        <w:autoSpaceDE w:val="false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>4.3. В случае временного отсутствия Председателя Контрольно-счетной палаты его должностные обязанности исполняет инспектор.</w:t>
      </w:r>
    </w:p>
    <w:p>
      <w:pPr>
        <w:pStyle w:val="Normal"/>
        <w:autoSpaceDE w:val="false"/>
        <w:spacing w:lineRule="auto" w:line="204" w:before="0" w:after="0"/>
        <w:ind w:left="0" w:right="0" w:firstLine="53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>4.4. Председатель Контрольно-счетной палаты:</w:t>
      </w:r>
    </w:p>
    <w:p>
      <w:pPr>
        <w:pStyle w:val="Normal"/>
        <w:autoSpaceDE w:val="false"/>
        <w:spacing w:lineRule="auto" w:line="204" w:before="0" w:after="0"/>
        <w:ind w:left="0" w:right="0" w:firstLine="539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>осуществляет руководство деятельностью Контрольно-счетной палаты, представляет интересы Контрольно-счетной палаты во взаимоотношениях с органами государственной власти, органа</w:t>
      </w:r>
      <w:r>
        <w:rPr>
          <w:rFonts w:cs="PT Astra Serif" w:ascii="PT Astra Serif" w:hAnsi="PT Astra Serif"/>
          <w:sz w:val="28"/>
          <w:szCs w:val="28"/>
        </w:rPr>
        <w:t>ми местного самоуправления, иными юридическими и физическими лицами;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утверждает Регламент Контрольно-счётной палаты;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утверждает планы деятельности Контрольно-счётной палаты и изменения к ним;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утверждает годовой отчет о деятельности Контрольно-счётной палаты;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утверждает стандарты внешнего муниципального финансового контроля в соответствии с общими требованиями, утвержденными Счётной палатой Российской Федерации; 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утверждает результаты контрольных и экспертно-аналитических мероприятий Контрольно-счётной палаты; подписывает представления и предписания Контрольно-счётной палаты;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представляет представительному органу муниципального образования и главе муниципального образования ежегодный отчет о деятельности Контрольно-счётной палаты, информацию о результатах проведенных контрольных и экспертно-аналитических мероприятий;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несет персональную ответственность за невыполнение или ненадлежащее выполнение функций и полномочий, возложенных на Контрольно-счётную палату законодательством, Уставом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и настоящим Положением, и результаты её работы;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принимает приказы по вопросам организации деятельности Контрольно-счётной палаты;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действует от имени Контрольно-счётной палаты без доверенности, подписывает муниципальные контракты, хозяйственные и иные договоры для обеспечения деятельности Контрольно-счётной палаты, а также иные документы, связанные с исполнением осуществляемых Контрольно-счётной палатой функций, выдает от имени Контрольно-счётной палаты доверенности;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утверждает бюджетную смету на содержание Контрольно-счётной палаты в пределах средств, предусмотренных в местном бюджете на соответствующий финансовый год;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утверждает </w:t>
      </w:r>
      <w:r>
        <w:rPr>
          <w:rFonts w:cs="PT Astra Serif" w:ascii="PT Astra Serif" w:hAnsi="PT Astra Serif"/>
          <w:bCs/>
          <w:sz w:val="28"/>
          <w:szCs w:val="28"/>
        </w:rPr>
        <w:t>структуру</w:t>
      </w:r>
      <w:r>
        <w:rPr>
          <w:rFonts w:cs="PT Astra Serif" w:ascii="PT Astra Serif" w:hAnsi="PT Astra Serif"/>
          <w:sz w:val="28"/>
          <w:szCs w:val="28"/>
        </w:rPr>
        <w:t xml:space="preserve"> и штатное расписание Контрольно-счётной палаты, а также изменения к ним в пределах установленных численности и фонда оплаты труда;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осуществляет полномочия представителя нанимателя (работодателя) в отношении работников Контрольно-счётной палаты в соответствии с трудовым законодательством и законодательством о муниципальной службе, в том числе назначает на должность (принимает на работу) и освобождает от должности (увольняет) работников аппарата Контрольно-счётной палаты, определяет их должностные обязанности;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утверждает положения об аппарате Контрольно-счётной палаты, должностные инструкции работников Контрольно-счётной палаты;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принимает решения о поощрении работников Контрольно-счётной палаты, а также о применении к ним дисциплинарных взысканий;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организует профессиональную подготовку и переподготовку, повышение квалификации и стажировку работников Контрольно-счётной палаты;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обеспечивает в помещениях Контрольно-счётной палаты противопожарную безопасность и выполнение требований охраны труда;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обеспечивает мобилизационную подготовку работников Контрольно-счётной палаты;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color w:val="auto"/>
          <w:sz w:val="28"/>
          <w:szCs w:val="28"/>
          <w:lang w:eastAsia="ru-RU"/>
        </w:rPr>
        <w:t xml:space="preserve">решает иные вопросы деятельности </w:t>
      </w:r>
      <w:r>
        <w:rPr>
          <w:rFonts w:cs="PT Astra Serif" w:ascii="PT Astra Serif" w:hAnsi="PT Astra Serif"/>
          <w:color w:val="auto"/>
          <w:sz w:val="28"/>
          <w:szCs w:val="28"/>
        </w:rPr>
        <w:t>Контрольно-счётной палаты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eastAsia="ru-RU"/>
        </w:rPr>
        <w:t xml:space="preserve">, в том числе устанавливает распределение обязанностей, функции и порядок взаимодействия инспекторов и (или) лиц, занимающих должности муниципальной службы и (или) занимающих должности, не относящиеся к должностям муниципальной службы  в аппарате </w:t>
      </w:r>
      <w:r>
        <w:rPr>
          <w:rFonts w:cs="PT Astra Serif" w:ascii="PT Astra Serif" w:hAnsi="PT Astra Serif"/>
          <w:color w:val="auto"/>
          <w:sz w:val="28"/>
          <w:szCs w:val="28"/>
        </w:rPr>
        <w:t>Контрольно-счётной палаты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eastAsia="ru-RU"/>
        </w:rPr>
        <w:t>, порядок ведения дел, подготовки и проведения мероприятий всех видов и форм контрольной и иной деятельности.</w:t>
      </w:r>
    </w:p>
    <w:p>
      <w:pPr>
        <w:pStyle w:val="Normal"/>
        <w:spacing w:lineRule="auto" w:line="204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/>
      </w:pPr>
      <w:r>
        <w:rPr>
          <w:rFonts w:cs="PT Astra Serif" w:ascii="PT Astra Serif" w:hAnsi="PT Astra Serif"/>
          <w:i w:val="false"/>
          <w:iCs w:val="false"/>
          <w:sz w:val="28"/>
          <w:szCs w:val="28"/>
        </w:rPr>
        <w:t>Статья 5</w:t>
      </w:r>
      <w:r>
        <w:rPr>
          <w:rFonts w:cs="PT Astra Serif" w:ascii="PT Astra Serif" w:hAnsi="PT Astra Serif"/>
          <w:sz w:val="28"/>
          <w:szCs w:val="28"/>
        </w:rPr>
        <w:t>. Полномочия и функции Контрольно-счетной палаты</w:t>
      </w:r>
    </w:p>
    <w:p>
      <w:pPr>
        <w:pStyle w:val="ConsPlusTitle"/>
        <w:bidi w:val="0"/>
        <w:spacing w:lineRule="auto" w:line="204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5.1. Полномочия и функции Контрольно-счётной палаты: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1) организация и осуществление контроля за законностью и эффективностью использования средств бюджета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(далее – местного бюджета), а также иных средств в случаях, предусмотренных законодательством Российской Федерации;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3) внешняя проверка годового отчета об исполнении местного бюджета;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4) проведение аудита в сфере закупок товаров, работ и услуг в соответствии с Федеральным </w:t>
      </w:r>
      <w:hyperlink r:id="rId3">
        <w:r>
          <w:rPr>
            <w:rFonts w:cs="PT Astra Serif" w:ascii="PT Astra Serif" w:hAnsi="PT Astra Serif"/>
            <w:sz w:val="28"/>
            <w:szCs w:val="28"/>
          </w:rPr>
          <w:t>законом</w:t>
        </w:r>
      </w:hyperlink>
      <w:r>
        <w:rPr>
          <w:rFonts w:cs="PT Astra Serif" w:ascii="PT Astra Serif" w:hAnsi="PT Astra Serif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10) осуществление контроля за состоянием муниципального внутреннего и внешнего долга;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Контрольно-счётной палаты;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13) контроль за законностью и эффективностью использования средств местного бюджета, поступивших в бюджеты поселений, входящих в состав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14) полномочия по осуществлению внешнего финансового контроля поселения, входящего в состав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области, переданные Контрольно-счётной палате в соответствии с соглашением, заключенным представительным органом такого поселения с Советом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области, в случае заключения такого соглашения;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15) 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16) 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17) проведение контрольных, экспертно-аналитических мероприятий, составление по их итогам актов, отчетов, заключений;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18) разработка и утверждение стандартов внешнего муниципального финансового контроля;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19) разработка и утверждение планов деятельности Контрольно-счётной палаты;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20) направление представлений и предписаний в установленном порядке;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21) передача материалов контрольных мероприятий в правоохранительные органы в случаях, установленных федеральным законом;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22) обеспечение доступа к информации о своей деятельности в составе и формах, определенных федеральным законом;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23)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области.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5.2. Внешний муниципальный финансовый контроль осуществляется Контрольно-счётной палатой: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1) в отношении органов местного самоуправления и муниципальных органов, муниципальных учреждений и унитарных предприятий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области, а также иных организаций, если они используют имущество, находящееся в муниципальной собственности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области;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2) в отношении иных лиц в случаях, предусмотренных Бюджетным </w:t>
      </w:r>
      <w:hyperlink r:id="rId4">
        <w:r>
          <w:rPr>
            <w:rFonts w:cs="PT Astra Serif" w:ascii="PT Astra Serif" w:hAnsi="PT Astra Serif"/>
            <w:sz w:val="28"/>
            <w:szCs w:val="28"/>
          </w:rPr>
          <w:t>кодексом</w:t>
        </w:r>
      </w:hyperlink>
      <w:r>
        <w:rPr>
          <w:rFonts w:cs="PT Astra Serif" w:ascii="PT Astra Serif" w:hAnsi="PT Astra Serif"/>
          <w:sz w:val="28"/>
          <w:szCs w:val="28"/>
        </w:rPr>
        <w:t xml:space="preserve"> Российской Федерации и другими федеральными законами.</w:t>
      </w:r>
    </w:p>
    <w:p>
      <w:pPr>
        <w:pStyle w:val="Normal"/>
        <w:autoSpaceDE w:val="false"/>
        <w:spacing w:lineRule="auto" w:line="204" w:before="0" w:after="0"/>
        <w:ind w:left="0" w:right="0" w:first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keepNext w:val="false"/>
        <w:autoSpaceDE w:val="false"/>
        <w:spacing w:lineRule="auto" w:line="204" w:before="0" w:after="0"/>
        <w:ind w:left="0" w:right="0" w:firstLine="709"/>
        <w:jc w:val="center"/>
        <w:rPr>
          <w:rFonts w:ascii="PT Astra Serif" w:hAnsi="PT Astra Serif" w:cs="PT Astra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Статья 6. Планирование деятельности Контрольно-счётной палаты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i/>
          <w:i/>
          <w:iCs/>
          <w:sz w:val="28"/>
          <w:szCs w:val="28"/>
        </w:rPr>
      </w:pPr>
      <w:r>
        <w:rPr>
          <w:rFonts w:cs="PT Astra Serif" w:ascii="PT Astra Serif" w:hAnsi="PT Astra Serif"/>
          <w:i/>
          <w:iCs/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6.1. Контрольно-счётная палата осуществляет свою деятельность в соответствии с планом, который разрабатывается и утверждается ею самостоятельно.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6.2. Планирование деятельности Контрольно-счётной палаты осуществляется с учетом результатов контрольных и экспертно-аналитических мероприятий, а также на основании поручений 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области, предложений Главы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Ульяновской области. 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6.3.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 </w:t>
      </w:r>
      <w:r>
        <w:rPr>
          <w:rFonts w:cs="PT Astra Serif" w:ascii="PT Astra Serif" w:hAnsi="PT Astra Serif"/>
          <w:sz w:val="28"/>
          <w:szCs w:val="28"/>
        </w:rPr>
        <w:t>Поручения 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предложения Главы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cs="PT Astra Serif" w:ascii="PT Astra Serif" w:hAnsi="PT Astra Serif"/>
          <w:sz w:val="28"/>
          <w:szCs w:val="28"/>
          <w:lang w:eastAsia="ru-RU"/>
        </w:rPr>
        <w:t xml:space="preserve"> направляются в </w:t>
      </w:r>
      <w:r>
        <w:rPr>
          <w:rFonts w:cs="PT Astra Serif" w:ascii="PT Astra Serif" w:hAnsi="PT Astra Serif"/>
          <w:sz w:val="28"/>
          <w:szCs w:val="28"/>
        </w:rPr>
        <w:t xml:space="preserve">Контрольно-счётную палату </w:t>
      </w:r>
      <w:r>
        <w:rPr>
          <w:rFonts w:cs="PT Astra Serif" w:ascii="PT Astra Serif" w:hAnsi="PT Astra Serif"/>
          <w:sz w:val="28"/>
          <w:szCs w:val="28"/>
          <w:lang w:eastAsia="ru-RU"/>
        </w:rPr>
        <w:t>в письменной форме.</w:t>
      </w:r>
      <w:r>
        <w:rPr>
          <w:rFonts w:cs="PT Astra Serif" w:ascii="PT Astra Serif" w:hAnsi="PT Astra Serif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6.4. Поручения 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предложения Главы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Ульяновской области рассматриваются Контрольно-счётной палатой </w:t>
      </w:r>
      <w:r>
        <w:rPr>
          <w:rFonts w:cs="PT Astra Serif" w:ascii="PT Astra Serif" w:hAnsi="PT Astra Serif"/>
          <w:sz w:val="28"/>
          <w:szCs w:val="28"/>
          <w:lang w:eastAsia="ru-RU"/>
        </w:rPr>
        <w:t>в десятидневный срок со дня их поступления</w:t>
      </w:r>
      <w:r>
        <w:rPr>
          <w:rFonts w:cs="PT Astra Serif" w:ascii="PT Astra Serif" w:hAnsi="PT Astra Serif"/>
          <w:sz w:val="28"/>
          <w:szCs w:val="28"/>
        </w:rPr>
        <w:t xml:space="preserve">. 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6.5. Разработка плана деятельности Контрольно-счетной палаты и внесение изменений в него осуществляются в порядке, утвержденном Контрольно-счетной палатой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.</w:t>
      </w:r>
    </w:p>
    <w:p>
      <w:pPr>
        <w:pStyle w:val="ConsPlusTitle"/>
        <w:bidi w:val="0"/>
        <w:spacing w:lineRule="auto" w:line="204" w:before="120" w:after="120"/>
        <w:ind w:left="0" w:right="0" w:firstLine="709"/>
        <w:jc w:val="both"/>
        <w:rPr>
          <w:rFonts w:ascii="PT Astra Serif" w:hAnsi="PT Astra Serif" w:cs="PT Astra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Статья 7. Регламент Контрольно-счётной палаты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Регламент Контрольно-счётной палаты определяет: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содержание направлений деятельности Контрольно-счётной палаты;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распределение обязанностей;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порядок ведения делопроизводства;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Контрольно-счётной палаты;</w:t>
      </w:r>
    </w:p>
    <w:p>
      <w:pPr>
        <w:pStyle w:val="ConsPlusNormal"/>
        <w:autoSpaceDE w:val="false"/>
        <w:bidi w:val="0"/>
        <w:spacing w:lineRule="auto" w:line="204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иные вопросы деятельности Контрольно-счётной палаты.</w:t>
      </w:r>
    </w:p>
    <w:p>
      <w:pPr>
        <w:pStyle w:val="ConsPlusNormal"/>
        <w:autoSpaceDE w:val="false"/>
        <w:bidi w:val="0"/>
        <w:spacing w:lineRule="auto" w:line="204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/>
          <w:bCs/>
          <w:i w:val="false"/>
          <w:iCs w:val="false"/>
          <w:sz w:val="28"/>
          <w:szCs w:val="28"/>
          <w:lang w:eastAsia="ru-RU"/>
        </w:rPr>
        <w:t xml:space="preserve">Статья 8. Порядок и сроки представления (направления) </w:t>
      </w: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 xml:space="preserve">Контрольно-счётной палате </w:t>
      </w:r>
      <w:r>
        <w:rPr>
          <w:rFonts w:eastAsia="Times New Roman" w:cs="PT Astra Serif" w:ascii="PT Astra Serif" w:hAnsi="PT Astra Serif"/>
          <w:b/>
          <w:bCs/>
          <w:i w:val="false"/>
          <w:iCs w:val="false"/>
          <w:sz w:val="28"/>
          <w:szCs w:val="28"/>
          <w:lang w:eastAsia="ru-RU"/>
        </w:rPr>
        <w:t xml:space="preserve">информации, документов и материалов, в том числе по запросам </w:t>
      </w: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Контрольно-счётной палаты</w:t>
      </w:r>
    </w:p>
    <w:p>
      <w:pPr>
        <w:pStyle w:val="Normal"/>
        <w:spacing w:lineRule="auto" w:line="204" w:before="0" w:after="0"/>
        <w:ind w:left="0" w:right="0" w:firstLine="709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Style30"/>
        <w:spacing w:lineRule="auto" w:line="204" w:before="0" w:after="0"/>
        <w:ind w:left="0" w:right="0" w:firstLine="709"/>
        <w:contextualSpacing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8.1. Органы местного самоуправления и муниципальные органы, организации, в отношении которых Счётная палата вправе осуществлять внешний муниципальный финансовый контроль 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или которые обладают информацией, необходимой для осуществления внешнего муниципального финансового контроля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, их должностные лица, а также территориальные органы федеральных органов исполнительной власти и их структурные подразделения обязаны представлять в </w:t>
      </w:r>
      <w:r>
        <w:rPr>
          <w:rFonts w:cs="PT Astra Serif" w:ascii="PT Astra Serif" w:hAnsi="PT Astra Serif"/>
          <w:sz w:val="28"/>
          <w:szCs w:val="28"/>
        </w:rPr>
        <w:t xml:space="preserve"> Контрольно-счётной палату 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по её запросам информацию, документы и материалы, необходимые для проведения контрольных и экспертно-аналитических мероприятий в течение семи календарных дней со дня поступления запроса.</w:t>
      </w:r>
    </w:p>
    <w:p>
      <w:pPr>
        <w:pStyle w:val="Normal"/>
        <w:spacing w:lineRule="auto" w:line="204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8.2. Правовые акты </w:t>
      </w:r>
      <w:r>
        <w:rPr>
          <w:rFonts w:cs="PT Astra Serif" w:ascii="PT Astra Serif" w:hAnsi="PT Astra Serif"/>
          <w:sz w:val="28"/>
          <w:szCs w:val="28"/>
        </w:rPr>
        <w:t>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и Главы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по бюджетно-финансовым вопросам, а также по вопросам управления и распоряжения имуществом, находящимся в муниципальной собственности</w:t>
      </w:r>
      <w:r>
        <w:rPr>
          <w:rFonts w:cs="PT Astra Serif" w:ascii="PT Astra Serif" w:hAnsi="PT Astra Serif"/>
          <w:sz w:val="28"/>
          <w:szCs w:val="28"/>
        </w:rPr>
        <w:t xml:space="preserve">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направляются в </w:t>
      </w:r>
      <w:r>
        <w:rPr>
          <w:rFonts w:cs="PT Astra Serif" w:ascii="PT Astra Serif" w:hAnsi="PT Astra Serif"/>
          <w:sz w:val="28"/>
          <w:szCs w:val="28"/>
        </w:rPr>
        <w:t>Контрольно-счётную палату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в течение пяти дней со дня принятия.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  <w:shd w:fill="FFFFFF" w:val="clear"/>
          <w:lang w:eastAsia="ru-RU"/>
        </w:rPr>
        <w:t xml:space="preserve">8.3. При осуществлении внешнего муниципального финансового контроля 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Контрольно-счётной палате</w:t>
      </w:r>
      <w:r>
        <w:rPr>
          <w:rFonts w:eastAsia="Times New Roman" w:cs="PT Astra Serif" w:ascii="PT Astra Serif" w:hAnsi="PT Astra Serif"/>
          <w:sz w:val="28"/>
          <w:szCs w:val="28"/>
          <w:shd w:fill="FFFFFF" w:val="clear"/>
          <w:lang w:eastAsia="ru-RU"/>
        </w:rPr>
        <w:t xml:space="preserve">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>
      <w:pPr>
        <w:pStyle w:val="Normal"/>
        <w:spacing w:lineRule="auto" w:line="204"/>
        <w:ind w:left="0" w:right="0" w:firstLine="709"/>
        <w:jc w:val="both"/>
        <w:rPr>
          <w:rFonts w:ascii="PT Astra Serif" w:hAnsi="PT Astra Serif" w:eastAsia="Times New Roman" w:cs="PT Astra Serif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/>
          <w:bCs/>
          <w:i w:val="false"/>
          <w:iCs w:val="false"/>
          <w:sz w:val="28"/>
          <w:szCs w:val="28"/>
          <w:lang w:eastAsia="ru-RU"/>
        </w:rPr>
        <w:t>Статья 9. Стандарты внешнего муниципального финансового контроля</w:t>
      </w:r>
    </w:p>
    <w:p>
      <w:pPr>
        <w:pStyle w:val="Normal"/>
        <w:spacing w:lineRule="auto" w:line="204"/>
        <w:ind w:left="0" w:right="0" w:firstLine="709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spacing w:lineRule="auto" w:line="204"/>
        <w:ind w:left="0" w:right="0" w:firstLine="709"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9.1. 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>
      <w:pPr>
        <w:pStyle w:val="Normal"/>
        <w:spacing w:lineRule="auto" w:line="204"/>
        <w:ind w:left="0" w:right="0" w:firstLine="709"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9.2.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Контрольно-счётной палатой в соответствии с общими требованиями, утвержденными Счётной палатой Российской Федерации.</w:t>
      </w:r>
    </w:p>
    <w:p>
      <w:pPr>
        <w:pStyle w:val="Normal"/>
        <w:spacing w:lineRule="auto" w:line="204"/>
        <w:ind w:left="0" w:right="0" w:firstLine="709"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9.3.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Normal"/>
        <w:spacing w:lineRule="auto" w:line="204"/>
        <w:ind w:left="0" w:right="0" w:firstLine="709"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9.4. Стандарты внешнего муниципального финансового контроля, утверждаемые Контрольно-счётной палатой, не могут противоречить законодательству Российской Федерации и законодательству субъекта Российской Федерации.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Cs/>
          <w:sz w:val="28"/>
          <w:szCs w:val="28"/>
          <w:shd w:fill="FFFFFF" w:val="clear"/>
          <w:lang w:eastAsia="ru-RU"/>
        </w:rPr>
        <w:t>9.5. Утвержденные Контрольно-счётной палатой Стандарты внешнего муниципального финансового контроля размещаются</w:t>
      </w:r>
      <w:r>
        <w:rPr>
          <w:rFonts w:eastAsia="Times New Roman" w:cs="PT Astra Serif" w:ascii="PT Astra Serif" w:hAnsi="PT Astra Serif"/>
          <w:sz w:val="28"/>
          <w:szCs w:val="28"/>
          <w:shd w:fill="FFFFFF" w:val="clear"/>
          <w:lang w:eastAsia="ru-RU"/>
        </w:rPr>
        <w:t xml:space="preserve"> в сети Интернет.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Статья 10. Формы осуществления Контрольно-счётной палатой внешнего муниципального финансового контроля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Внешний муниципальный финансовый контроль осуществляется Контрольно-счётной палатой в форме контрольных или экспертно-аналитических мероприятий.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При проведении контрольного мероприятия </w:t>
      </w: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 xml:space="preserve">Контрольно-счётной палатой </w:t>
      </w:r>
      <w:r>
        <w:rPr>
          <w:rFonts w:cs="PT Astra Serif" w:ascii="PT Astra Serif" w:hAnsi="PT Astra Serif"/>
          <w:sz w:val="28"/>
          <w:szCs w:val="28"/>
        </w:rPr>
        <w:t>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Контрольно-счётной палаты составляется отчет.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  <w:shd w:fill="FFFFFF" w:val="clear"/>
          <w:lang w:eastAsia="ru-RU"/>
        </w:rPr>
      </w:pPr>
      <w:r>
        <w:rPr>
          <w:rFonts w:eastAsia="Times New Roman" w:cs="PT Astra Serif" w:ascii="PT Astra Serif" w:hAnsi="PT Astra Serif"/>
          <w:sz w:val="28"/>
          <w:szCs w:val="28"/>
          <w:shd w:fill="FFFFFF" w:val="clear"/>
          <w:lang w:eastAsia="ru-RU"/>
        </w:rPr>
        <w:t>При проведении экспертно-аналитического мероприятия Контрольно-счётной палатой составляются отчет или заключение.</w:t>
      </w:r>
    </w:p>
    <w:p>
      <w:pPr>
        <w:pStyle w:val="Normal"/>
        <w:spacing w:lineRule="auto" w:line="204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uto" w:line="204" w:before="0" w:after="0"/>
        <w:ind w:left="0" w:right="0" w:firstLine="709"/>
        <w:jc w:val="both"/>
        <w:rPr>
          <w:rFonts w:ascii="PT Astra Serif" w:hAnsi="PT Astra Serif" w:eastAsia="Times New Roman" w:cs="PT Astra Serif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/>
          <w:bCs/>
          <w:i w:val="false"/>
          <w:iCs w:val="false"/>
          <w:sz w:val="28"/>
          <w:szCs w:val="28"/>
          <w:lang w:eastAsia="ru-RU"/>
        </w:rPr>
        <w:t>Статья 11. Анализ результатов контрольных мероприятий</w:t>
      </w:r>
    </w:p>
    <w:p>
      <w:pPr>
        <w:pStyle w:val="Normal"/>
        <w:spacing w:lineRule="auto" w:line="204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Cs/>
          <w:sz w:val="28"/>
          <w:szCs w:val="28"/>
          <w:shd w:fill="FFFFFF" w:val="clear"/>
          <w:lang w:eastAsia="ru-RU"/>
        </w:rPr>
        <w:t>Контрольно-счётная палата систематически</w:t>
      </w:r>
      <w:r>
        <w:rPr>
          <w:rFonts w:eastAsia="Times New Roman" w:cs="PT Astra Serif" w:ascii="PT Astra Serif" w:hAnsi="PT Astra Serif"/>
          <w:sz w:val="28"/>
          <w:szCs w:val="28"/>
          <w:shd w:fill="FFFFFF" w:val="clear"/>
          <w:lang w:eastAsia="ru-RU"/>
        </w:rPr>
        <w:t xml:space="preserve">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 муниципального образования «Тереньгульский район» Ульяновской области.</w:t>
      </w:r>
    </w:p>
    <w:p>
      <w:pPr>
        <w:pStyle w:val="Normal"/>
        <w:keepNext w:val="false"/>
        <w:autoSpaceDE w:val="false"/>
        <w:spacing w:lineRule="auto" w:line="204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/>
          <w:bCs/>
          <w:i w:val="false"/>
          <w:iCs w:val="false"/>
          <w:sz w:val="28"/>
          <w:szCs w:val="28"/>
          <w:lang w:eastAsia="ru-RU"/>
        </w:rPr>
        <w:t xml:space="preserve">Статья 12. Финансовое обеспечение деятельности </w:t>
      </w: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Контрольно-счётной палаты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center"/>
        <w:rPr/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12.1. Финансовое обеспечение деятельности </w:t>
      </w:r>
      <w:r>
        <w:rPr>
          <w:rFonts w:cs="PT Astra Serif" w:ascii="PT Astra Serif" w:hAnsi="PT Astra Serif"/>
          <w:sz w:val="28"/>
          <w:szCs w:val="28"/>
        </w:rPr>
        <w:t>Контрольно-счётной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палаты осуществляется за счёт средств местного бюджета и предусматривается в объёме, позволяющем обеспечить возможность осуществления возложенных на неё (переданных ей) полномочий.</w:t>
      </w:r>
    </w:p>
    <w:p>
      <w:pPr>
        <w:pStyle w:val="Normal"/>
        <w:spacing w:lineRule="auto" w:line="204" w:before="280" w:after="28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12.2. Бюджетные ассигнования на финансовое обеспечение деятельности </w:t>
      </w:r>
      <w:r>
        <w:rPr>
          <w:rFonts w:cs="PT Astra Serif" w:ascii="PT Astra Serif" w:hAnsi="PT Astra Serif"/>
          <w:sz w:val="28"/>
          <w:szCs w:val="28"/>
        </w:rPr>
        <w:t>Контрольно-счётной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палаты предусматриваются в решении </w:t>
      </w:r>
      <w:r>
        <w:rPr>
          <w:rFonts w:cs="PT Astra Serif" w:ascii="PT Astra Serif" w:hAnsi="PT Astra Serif"/>
          <w:sz w:val="28"/>
          <w:szCs w:val="28"/>
        </w:rPr>
        <w:t>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о бюджете</w:t>
      </w:r>
      <w:r>
        <w:rPr>
          <w:rFonts w:cs="PT Astra Serif" w:ascii="PT Astra Serif" w:hAnsi="PT Astra Serif"/>
          <w:sz w:val="28"/>
          <w:szCs w:val="28"/>
        </w:rPr>
        <w:t xml:space="preserve">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на соответствующий финансовый год и плановый период в соответствии с </w:t>
      </w:r>
      <w:r>
        <w:fldChar w:fldCharType="begin"/>
      </w:r>
      <w:r>
        <w:rPr>
          <w:sz w:val="28"/>
          <w:szCs w:val="28"/>
          <w:rFonts w:eastAsia="Times New Roman" w:cs="PT Astra Serif" w:ascii="PT Astra Serif" w:hAnsi="PT Astra Serif"/>
          <w:lang w:eastAsia="ru-RU"/>
        </w:rPr>
        <w:instrText xml:space="preserve"> HYPERLINK "https://internet.garant.ru/" \l "/document/12112604/entry/20026"</w:instrText>
      </w:r>
      <w:r>
        <w:rPr>
          <w:sz w:val="28"/>
          <w:szCs w:val="28"/>
          <w:rFonts w:eastAsia="Times New Roman" w:cs="PT Astra Serif" w:ascii="PT Astra Serif" w:hAnsi="PT Astra Serif"/>
          <w:lang w:eastAsia="ru-RU"/>
        </w:rPr>
        <w:fldChar w:fldCharType="separate"/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Бюджетным кодексом</w:t>
      </w:r>
      <w:r>
        <w:rPr>
          <w:sz w:val="28"/>
          <w:szCs w:val="28"/>
          <w:rFonts w:eastAsia="Times New Roman" w:cs="PT Astra Serif" w:ascii="PT Astra Serif" w:hAnsi="PT Astra Serif"/>
          <w:lang w:eastAsia="ru-RU"/>
        </w:rPr>
        <w:fldChar w:fldCharType="end"/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 Российской Федерации.</w:t>
      </w:r>
    </w:p>
    <w:p>
      <w:pPr>
        <w:pStyle w:val="Normal"/>
        <w:spacing w:lineRule="auto" w:line="204" w:before="280" w:after="280"/>
        <w:ind w:left="0" w:right="0" w:firstLine="709"/>
        <w:jc w:val="both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Статья 13. Ответственность должностных лиц Контрольно-счётной палаты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13.1. Должностные лица Контрольно-счётной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13.2. Должностные лица Контрольно-счётной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Контрольно-счётной палаты.</w:t>
      </w:r>
    </w:p>
    <w:p>
      <w:pPr>
        <w:pStyle w:val="ConsPlusNormal"/>
        <w:bidi w:val="0"/>
        <w:spacing w:lineRule="auto" w:line="204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13.3. Должностные лица Контрольно-счётной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Normal"/>
        <w:autoSpaceDE w:val="false"/>
        <w:spacing w:lineRule="auto" w:line="204"/>
        <w:ind w:left="0" w:right="0" w:firstLine="709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/>
          <w:bCs/>
          <w:sz w:val="28"/>
          <w:szCs w:val="28"/>
          <w:lang w:eastAsia="ru-RU"/>
        </w:rPr>
        <w:t>Статья 14. </w:t>
      </w:r>
      <w:r>
        <w:rPr>
          <w:rFonts w:cs="PT Astra Serif" w:ascii="PT Astra Serif" w:hAnsi="PT Astra Serif"/>
          <w:b/>
          <w:bCs/>
          <w:sz w:val="28"/>
          <w:szCs w:val="28"/>
          <w:shd w:fill="FFFFFF" w:val="clear"/>
        </w:rPr>
        <w:t>Материальное и социальное обеспечение должностных лиц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Контрольно-счётной палаты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bCs/>
          <w:sz w:val="28"/>
          <w:szCs w:val="28"/>
          <w:lang w:eastAsia="ru-RU"/>
        </w:rPr>
        <w:t>14.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1. Гарантии деятельности Председателя </w:t>
      </w:r>
      <w:r>
        <w:rPr>
          <w:rFonts w:cs="PT Astra Serif" w:ascii="PT Astra Serif" w:hAnsi="PT Astra Serif"/>
          <w:sz w:val="28"/>
          <w:szCs w:val="28"/>
        </w:rPr>
        <w:t>Контрольно-счётной палаты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, связанные с денежным содержанием (вознаграждением), предоставлением ежегодных оплачиваемых отпусков (основного и дополнительного), профессиональным развитием, в том числе получением дополнительного профессионального образования, а также с предоставлением других мер материального и социального обеспечения, в том числе по медицинскому и санаторно-курортному обеспечению, бытовому, транспортному и иным видам обслуживания, устанавливаются  настоящим Положением и Решением </w:t>
      </w:r>
      <w:r>
        <w:rPr>
          <w:rFonts w:cs="PT Astra Serif" w:ascii="PT Astra Serif" w:hAnsi="PT Astra Serif"/>
          <w:sz w:val="28"/>
          <w:szCs w:val="28"/>
        </w:rPr>
        <w:t>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«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О муниципальных должностях </w:t>
      </w:r>
      <w:r>
        <w:rPr>
          <w:rFonts w:cs="PT Astra Serif" w:ascii="PT Astra Serif" w:hAnsi="PT Astra Serif"/>
          <w:sz w:val="28"/>
          <w:szCs w:val="28"/>
        </w:rPr>
        <w:t xml:space="preserve">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 ».</w:t>
      </w:r>
    </w:p>
    <w:p>
      <w:pPr>
        <w:pStyle w:val="Normal"/>
        <w:spacing w:lineRule="auto" w:line="204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14.2. Председателю </w:t>
      </w:r>
      <w:r>
        <w:rPr>
          <w:rFonts w:cs="PT Astra Serif" w:ascii="PT Astra Serif" w:hAnsi="PT Astra Serif"/>
          <w:sz w:val="28"/>
          <w:szCs w:val="28"/>
        </w:rPr>
        <w:t>Контрольно-счётной палаты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 xml:space="preserve"> устанавливается ежемесячное денежное содержание размере денежного содержания заместителя Главы администрации</w:t>
      </w:r>
      <w:r>
        <w:rPr>
          <w:rFonts w:cs="PT Astra Serif" w:ascii="PT Astra Serif" w:hAnsi="PT Astra Serif"/>
          <w:sz w:val="28"/>
          <w:szCs w:val="28"/>
        </w:rPr>
        <w:t xml:space="preserve">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.</w:t>
      </w:r>
    </w:p>
    <w:p>
      <w:pPr>
        <w:pStyle w:val="Normal"/>
        <w:autoSpaceDE w:val="false"/>
        <w:spacing w:lineRule="auto" w:line="204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14.3. Материальное и социальное обеспечение иных лиц, замещающих должности муниципальной службы Ульяновской области в аппарате </w:t>
      </w:r>
      <w:r>
        <w:rPr>
          <w:rFonts w:cs="PT Astra Serif" w:ascii="PT Astra Serif" w:hAnsi="PT Astra Serif"/>
          <w:sz w:val="28"/>
          <w:szCs w:val="28"/>
        </w:rPr>
        <w:t>Контрольно-счётной палаты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, в том числе должности инспекторов </w:t>
      </w:r>
      <w:r>
        <w:rPr>
          <w:rFonts w:cs="PT Astra Serif" w:ascii="PT Astra Serif" w:hAnsi="PT Astra Serif"/>
          <w:sz w:val="28"/>
          <w:szCs w:val="28"/>
        </w:rPr>
        <w:t>Контрольно-счётной палаты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 осуществляется в соответствии с </w:t>
      </w:r>
      <w:r>
        <w:fldChar w:fldCharType="begin"/>
      </w:r>
      <w:r>
        <w:rPr>
          <w:sz w:val="28"/>
          <w:u w:val="none"/>
          <w:shd w:fill="FFFFFF" w:val="clear"/>
          <w:szCs w:val="28"/>
          <w:rFonts w:cs="PT Astra Serif" w:ascii="PT Astra Serif" w:hAnsi="PT Astra Serif"/>
          <w:color w:val="000000"/>
        </w:rPr>
        <w:instrText xml:space="preserve"> HYPERLINK "https://internet.garant.ru/" \l "/document/12125268/entry/77"</w:instrText>
      </w:r>
      <w:r>
        <w:rPr>
          <w:sz w:val="28"/>
          <w:u w:val="none"/>
          <w:shd w:fill="FFFFFF" w:val="clear"/>
          <w:szCs w:val="28"/>
          <w:rFonts w:cs="PT Astra Serif" w:ascii="PT Astra Serif" w:hAnsi="PT Astra Serif"/>
          <w:color w:val="000000"/>
        </w:rPr>
        <w:fldChar w:fldCharType="separate"/>
      </w:r>
      <w:r>
        <w:rPr>
          <w:rFonts w:cs="PT Astra Serif" w:ascii="PT Astra Serif" w:hAnsi="PT Astra Serif"/>
          <w:color w:val="000000"/>
          <w:sz w:val="28"/>
          <w:szCs w:val="28"/>
          <w:u w:val="none"/>
          <w:shd w:fill="FFFFFF" w:val="clear"/>
        </w:rPr>
        <w:t>Трудовым кодексом</w:t>
      </w:r>
      <w:r>
        <w:rPr>
          <w:sz w:val="28"/>
          <w:u w:val="none"/>
          <w:shd w:fill="FFFFFF" w:val="clear"/>
          <w:szCs w:val="28"/>
          <w:rFonts w:cs="PT Astra Serif" w:ascii="PT Astra Serif" w:hAnsi="PT Astra Serif"/>
          <w:color w:val="000000"/>
        </w:rPr>
        <w:fldChar w:fldCharType="end"/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 Российской Федерации, Федеральным законом от 2 марта 2007 г. № 25-ФЗ «О муниципальной службе в Российской Федерации», а также Законом Ульяновской области от 7 ноября 2007 г. № 163-ЗО «О муниципальной службе в Ульяновской области», Решением </w:t>
      </w:r>
      <w:r>
        <w:rPr>
          <w:rFonts w:cs="PT Astra Serif" w:ascii="PT Astra Serif" w:hAnsi="PT Astra Serif"/>
          <w:sz w:val="28"/>
          <w:szCs w:val="28"/>
        </w:rPr>
        <w:t>Совета депутатов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 и иными нормативными правовыми актами</w:t>
      </w:r>
      <w:r>
        <w:rPr>
          <w:rFonts w:cs="PT Astra Serif" w:ascii="PT Astra Serif" w:hAnsi="PT Astra Serif"/>
          <w:sz w:val="28"/>
          <w:szCs w:val="28"/>
        </w:rPr>
        <w:t xml:space="preserve">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  <w:shd w:fill="FFFFFF" w:val="clear"/>
          <w:lang w:eastAsia="ru-RU"/>
        </w:rPr>
        <w:t xml:space="preserve">14.4. Материальное и социальное обеспечение лиц, замещающих должности в аппарате Контрольно-счётной палаты, не являющиеся должностями муниципальной службы Ульяновской области, осуществляется в соответствии с </w:t>
      </w:r>
      <w:r>
        <w:fldChar w:fldCharType="begin"/>
      </w:r>
      <w:r>
        <w:rPr>
          <w:sz w:val="28"/>
          <w:u w:val="none"/>
          <w:shd w:fill="FFFFFF" w:val="clear"/>
          <w:szCs w:val="28"/>
          <w:rFonts w:eastAsia="Times New Roman" w:cs="PT Astra Serif" w:ascii="PT Astra Serif" w:hAnsi="PT Astra Serif"/>
          <w:color w:val="000000"/>
          <w:lang w:eastAsia="ru-RU"/>
        </w:rPr>
        <w:instrText xml:space="preserve"> HYPERLINK "https://internet.garant.ru/" \l "/document/12125268/entry/77"</w:instrText>
      </w:r>
      <w:r>
        <w:rPr>
          <w:sz w:val="28"/>
          <w:u w:val="none"/>
          <w:shd w:fill="FFFFFF" w:val="clear"/>
          <w:szCs w:val="28"/>
          <w:rFonts w:eastAsia="Times New Roman" w:cs="PT Astra Serif" w:ascii="PT Astra Serif" w:hAnsi="PT Astra Serif"/>
          <w:color w:val="000000"/>
          <w:lang w:eastAsia="ru-RU"/>
        </w:rPr>
        <w:fldChar w:fldCharType="separate"/>
      </w:r>
      <w:r>
        <w:rPr>
          <w:rFonts w:eastAsia="Times New Roman" w:cs="PT Astra Serif" w:ascii="PT Astra Serif" w:hAnsi="PT Astra Serif"/>
          <w:color w:val="000000"/>
          <w:sz w:val="28"/>
          <w:szCs w:val="28"/>
          <w:u w:val="none"/>
          <w:shd w:fill="FFFFFF" w:val="clear"/>
          <w:lang w:eastAsia="ru-RU"/>
        </w:rPr>
        <w:t>Трудовым кодексом</w:t>
      </w:r>
      <w:r>
        <w:rPr>
          <w:sz w:val="28"/>
          <w:u w:val="none"/>
          <w:shd w:fill="FFFFFF" w:val="clear"/>
          <w:szCs w:val="28"/>
          <w:rFonts w:eastAsia="Times New Roman" w:cs="PT Astra Serif" w:ascii="PT Astra Serif" w:hAnsi="PT Astra Serif"/>
          <w:color w:val="000000"/>
          <w:lang w:eastAsia="ru-RU"/>
        </w:rPr>
        <w:fldChar w:fldCharType="end"/>
      </w:r>
      <w:r>
        <w:rPr>
          <w:rFonts w:eastAsia="Times New Roman" w:cs="PT Astra Serif" w:ascii="PT Astra Serif" w:hAnsi="PT Astra Serif"/>
          <w:sz w:val="28"/>
          <w:szCs w:val="28"/>
          <w:shd w:fill="FFFFFF" w:val="clear"/>
          <w:lang w:eastAsia="ru-RU"/>
        </w:rPr>
        <w:t xml:space="preserve"> Российской Федерации и нормативными правовыми актами муниципального образования «Тереньгульский район» Ульяновской области.</w:t>
      </w:r>
    </w:p>
    <w:p>
      <w:pPr>
        <w:pStyle w:val="Normal"/>
        <w:autoSpaceDE w:val="false"/>
        <w:spacing w:lineRule="auto" w:line="204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04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/>
        <w:ind w:left="0" w:right="0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Приложение</w:t>
      </w:r>
    </w:p>
    <w:p>
      <w:pPr>
        <w:pStyle w:val="ConsPlusNormal"/>
        <w:bidi w:val="0"/>
        <w:spacing w:lineRule="auto" w:line="204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Положению</w:t>
      </w:r>
    </w:p>
    <w:p>
      <w:pPr>
        <w:pStyle w:val="ConsPlusNormal"/>
        <w:bidi w:val="0"/>
        <w:spacing w:lineRule="auto" w:line="204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 Контрольно-счётной палате</w:t>
      </w:r>
    </w:p>
    <w:p>
      <w:pPr>
        <w:pStyle w:val="ConsPlusNormal"/>
        <w:bidi w:val="0"/>
        <w:spacing w:lineRule="auto" w:line="204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муниципального образования «Тереньгульский район»</w:t>
      </w:r>
    </w:p>
    <w:p>
      <w:pPr>
        <w:pStyle w:val="ConsPlusNormal"/>
        <w:bidi w:val="0"/>
        <w:spacing w:lineRule="auto" w:line="20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Title"/>
        <w:bidi w:val="0"/>
        <w:spacing w:lineRule="auto" w:line="204"/>
        <w:jc w:val="center"/>
        <w:rPr>
          <w:rFonts w:ascii="PT Astra Serif" w:hAnsi="PT Astra Serif" w:cs="PT Astra Serif"/>
          <w:sz w:val="28"/>
          <w:szCs w:val="28"/>
        </w:rPr>
      </w:pPr>
      <w:bookmarkStart w:id="1" w:name="P266"/>
      <w:bookmarkEnd w:id="1"/>
      <w:r>
        <w:rPr>
          <w:rFonts w:cs="PT Astra Serif" w:ascii="PT Astra Serif" w:hAnsi="PT Astra Serif"/>
          <w:sz w:val="28"/>
          <w:szCs w:val="28"/>
        </w:rPr>
        <w:t>ПОРЯДОК</w:t>
      </w:r>
    </w:p>
    <w:p>
      <w:pPr>
        <w:pStyle w:val="ConsPlusTitle"/>
        <w:bidi w:val="0"/>
        <w:spacing w:lineRule="auto" w:line="204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рассмотрения кандидатур на должность председателя</w:t>
      </w:r>
    </w:p>
    <w:p>
      <w:pPr>
        <w:pStyle w:val="ConsPlusTitle"/>
        <w:bidi w:val="0"/>
        <w:spacing w:lineRule="auto" w:line="204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Контрольно-счётной палаты муниципального образования «Тереньгульский район»</w:t>
      </w:r>
    </w:p>
    <w:p>
      <w:pPr>
        <w:pStyle w:val="ConsPlusNormal"/>
        <w:bidi w:val="0"/>
        <w:spacing w:lineRule="auto" w:line="20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/>
      </w:pPr>
      <w:r>
        <w:rPr>
          <w:rFonts w:cs="PT Astra Serif" w:ascii="PT Astra Serif" w:hAnsi="PT Astra Serif"/>
          <w:sz w:val="28"/>
          <w:szCs w:val="28"/>
        </w:rPr>
        <w:t>1. Предложения о кандидатурах на должность председателя Контрольно-счётной палаты муниципального образования «Тереньгульский район»</w:t>
      </w:r>
      <w:r>
        <w:rPr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Ульяновской области (далее - Контрольно-счётная палата) вносятся в Совет депутатов муниципального образования «Тереньгульский район» Ульяновской области (далее - Совет депутатов) с сопроводительным письмом на имя Председателя Совета депутатов в порядке, установленном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-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образований»), Положением о Контрольно-счётной палате муниципального образования «Тереньгульский район» Ульяновской области (далее - Положение о Контрольно-счётной палате).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предложениям о кандидатурах на должность председателя Контрольно-счётной палаты должны прилагаться документы, подтверждающие их соответствие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 Кандидатуры на должность председателя Контрольно-счётной палаты предварительно рассматриваются на заседании Комиссии по рассмотрению кандидатур на должности председателя Контрольно-счётной палаты (далее - Комиссия).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3. Комиссия на основании представленных документов осуществляет проверку соответствия предложенных кандидатур на должность председателя Контрольно-счётной палаты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 Комиссия формируется Советом депутатов в составе 7 человек. В состав Комиссии по согласованию входят в том числе представитель органа внешнего государственного финансового контроля Ульяновской области и Ассоциации «Совет муниципальных образований Ульяновской области».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5. Комиссия состоит из председателя, заместителя председателя, секретаря и членов Комиссии.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Комиссия на заседании избирает из своего состава председателя, заместителя председателя и секретаря Комиссии.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Председатель Комиссии осуществляет общее руководство деятельностью Комиссии и председательствует на ее заседании. Секретарь Комиссии организует проведение заседания Комиссии, оформляет протокол ее заседания.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Заседания Комиссии проводит председатель Комиссии, а в отсутствие председателя Комиссии - его заместитель.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Заседание Комиссии правомочно, если на нем присутствует не менее двух третей от общего числа членов Комиссии.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протоколами, которые подписываются председателем Комиссии и секретарем Комиссии. В случае равенства голосов решающим является голос председателя Комиссии.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6. Место и время проведения первого заседания Комиссии определяются Советом депутатов при принятии решения о формировании Комиссии.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Заседание Комиссии должно проводиться не позднее чем за 5 рабочих дней до дня рассмотрения вопроса о назначении на должность председателя Контрольно-счётной палаты на заседании Совета депутатов.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Рассмотрение Комиссией кандидатур на должность председателя Контрольно-счётной палаты осуществляется при личном участии кандидатов на указанные должности.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Если в ходе рассмотрения Комиссией кандидатур на должность председателя Контрольно-счётной палаты будет установлено, что представленными документами не подтверждается соответствие кандидатур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палате, Комиссия принимает решение о возвращении предложения о кандидатурах на должность председателя Контрольно-счётной палаты его инициатору (инициаторам). Такое предложение не считается внесенным в Совет депутатов.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Если в ходе рассмотрения Комиссией кандидатур на должность председателя Контрольно-счётной палаты будет установлено, что представленными документами подтверждается соответствие кандидатур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палате, Комиссия принимает решение о внесении соответствующих кандидатур для рассмотрения на заседании Совета депутатов.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Решение Комиссии принимается в отсутствие кандидатов на должность Контрольно-счётной палаты и носит для Совета депутатов рекомендательный характер.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Комиссия в течение трех рабочих дней со дня принятия решения по результатам проведенной работы направляет протокол заседания Комиссии в Совет депутатов.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7. Совет депутатов рассматривает вопрос о назначении на должность председателя Контрольно-счётной палаты на заседании, ближайшем ко дню истечения срока полномочий председателя Контрольно-счётной палаты, а в случаях отклонения кандидатур на должность председателя Контрольно-счётной палаты или досрочного прекращения полномочий действующего председателя Контрольно-счётной палаты - не позднее чем через 21 календарный день со дня принятия Советом депутатов соответствующих решений.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8. Рассмотрение Советом депутатов вопроса о назначении на должность председателя Контрольно-счётной палаты начинается с представления инициатором (инициаторами) либо по его (их) поручению уполномоченным представителем кандидатуры на должность председателя Контрольно-счётной палаты и доклада по данному вопросу председателя Комиссии. При этом в случае, если на рассмотрение Совета депутатов было внесено несколько кандидатур на должность председателя Контрольно-счётной палаты, кандидатуры на должность председателя Контрольно-счётной палаты рассматриваются в порядке очередности поступления соответствующих предложений, устанавливаемой по дате их регистрации при поступлении в Совет депутатов.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Кандидат на должность председателя Контрольно-счётной палаты выступает перед Советом депутатов с краткой программой предстоящей деятельности.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Депутаты, присутствующие на заседании Совета депутатов, вправе задавать вопросы кандидатам на должность председателя Контрольно-счётной палаты, высказывать свое мнение по предложенным кандидатурам, выступать за или против них.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По окончании обсуждения Совет депутатов переходит к голосованию по кандидатуре (кандидатурам) на должность председателя Контрольно-счётной палаты. Голосование по кандидатуре (кандидатурам) является тайным.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Все кандидаты, выдвинутые на должность председателя Контрольно-счётной палаты, за исключением лиц, взявших самоотвод, включаются в список для голосования. Самоотвод принимается без обсуждения и голосования.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Кандидат считается назначенным на должность председателя Контрольно-счётной палаты, если за него проголосовало более половины от числа избранных депутатов. Кандидатуры, не набравшие указанного числа голосов, считаются отклоненными. Решение о назначении кандидата на должность председателя Контрольно-счётной палаты и об отклонении кандидатур на должность председателя Контрольно-счётной палаты, не набравших указанного числа голосов, оформляются отдельным решением Совета депутатов.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 случае если кандидатов на должность председателя Контрольно-счётной палаты было более двух и ни один из них не набрал требуемого числа голосов депутатов, проводится повторное тайное голосование по двум кандидатам, набравшим наибольшее число голосов. В случае повторного тайного голосования или если тайное голосование проводилось по двум кандидатам на должность председателя Контрольно-счётной палаты, по результатам которых ни один из кандидатов не набрал требуемого для назначения числа голосов, проводится дополнительное тайное голосование по кандидатуре, получившей наибольшее число голосов.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Если в результате тайного голосования ни один кандидат на должность председателя Контрольно-счётной палаты не был избран, все кандидатуры считаются отклоненными. Решение об отклонении кандидатур на должность председателя Контрольно-счётной палаты оформляется отдельным решением Совета депутатов.</w:t>
      </w:r>
    </w:p>
    <w:p>
      <w:pPr>
        <w:pStyle w:val="ConsPlusNormal"/>
        <w:bidi w:val="0"/>
        <w:spacing w:lineRule="auto" w:line="204"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 случае отклонения кандидатур, предложенных на должность председателя Контрольно-счётной палаты, в течение 14 календарных дней вносятся новые кандидатуры. При этом возможно представление на рассмотрение Совета депутатов тех же кандидатур на должность председателя Контрольно-счётной палаты либо других кандидатур.</w:t>
      </w:r>
    </w:p>
    <w:p>
      <w:pPr>
        <w:pStyle w:val="ConsPlusNormal"/>
        <w:bidi w:val="0"/>
        <w:spacing w:lineRule="auto" w:line="204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ConsPlusNormal"/>
        <w:bidi w:val="0"/>
        <w:spacing w:lineRule="auto" w:line="204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ConsPlusNormal"/>
        <w:pBdr>
          <w:top w:val="single" w:sz="6" w:space="0" w:color="000000"/>
        </w:pBdr>
        <w:autoSpaceDE w:val="false"/>
        <w:bidi w:val="0"/>
        <w:spacing w:lineRule="auto" w:line="204" w:before="100" w:after="100"/>
        <w:ind w:left="0" w:right="0" w:firstLine="709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sectPr>
      <w:footerReference w:type="default" r:id="rId5"/>
      <w:footerReference w:type="first" r:id="rId6"/>
      <w:type w:val="nextPage"/>
      <w:pgSz w:w="11906" w:h="16838"/>
      <w:pgMar w:left="1418" w:right="567" w:gutter="0" w:header="0" w:top="1021" w:footer="709" w:bottom="102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PT Astra Serif">
    <w:charset w:val="cc"/>
    <w:family w:val="roman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page">
                <wp:posOffset>7052945</wp:posOffset>
              </wp:positionH>
              <wp:positionV relativeFrom="paragraph">
                <wp:posOffset>635</wp:posOffset>
              </wp:positionV>
              <wp:extent cx="245110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" cy="1708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9.3pt;height:13.45pt;mso-wrap-distance-left:0pt;mso-wrap-distance-right:0pt;mso-wrap-distance-top:0pt;mso-wrap-distance-bottom:0pt;margin-top:0.05pt;mso-position-vertical-relative:text;margin-left:555.35pt;mso-position-horizontal-relative:page">
              <v:textbox inset="0.00486111111111111in,0.00486111111111111in,0.00486111111111111in,0.00486111111111111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 xml:space="preserve"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1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8"/>
      <w:szCs w:val="2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4">
    <w:name w:val="Основной шрифт абзаца"/>
    <w:qFormat/>
    <w:rPr/>
  </w:style>
  <w:style w:type="character" w:styleId="1">
    <w:name w:val=" Знак Знак1"/>
    <w:basedOn w:val="Style14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омер страницы"/>
    <w:basedOn w:val="Style14"/>
    <w:rPr/>
  </w:style>
  <w:style w:type="character" w:styleId="Style16">
    <w:name w:val=" Знак Знак"/>
    <w:basedOn w:val="Style14"/>
    <w:qFormat/>
    <w:rPr>
      <w:rFonts w:ascii="Tahoma" w:hAnsi="Tahoma" w:eastAsia="Times New Roman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SimSun;宋体" w:cs="Arial"/>
      <w:b/>
      <w:bCs/>
      <w:color w:val="auto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paragraph" w:styleId="Style30">
    <w:name w:val="Абзац списка"/>
    <w:basedOn w:val="Normal"/>
    <w:qFormat/>
    <w:pPr>
      <w:spacing w:before="0" w:after="160"/>
      <w:ind w:left="720" w:right="0" w:hanging="0"/>
      <w:contextualSpacing/>
    </w:pPr>
    <w:rPr>
      <w:rFonts w:eastAsia="Calibri" w:cs="Times New Roman"/>
      <w:sz w:val="28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2875&amp;date=05.10.2021" TargetMode="External"/><Relationship Id="rId3" Type="http://schemas.openxmlformats.org/officeDocument/2006/relationships/hyperlink" Target="consultantplus://offline/ref=3A2D2A77F085433EF52CEE3AB53F0055CABDC7ACCBED8AB1DA2F5911118A0059A4CD1874D525E7C670F86B8C43s5GFO" TargetMode="External"/><Relationship Id="rId4" Type="http://schemas.openxmlformats.org/officeDocument/2006/relationships/hyperlink" Target="consultantplus://offline/ref=3A2D2A77F085433EF52CEE3AB53F0055CABDC7AAC8E68AB1DA2F5911118A0059A4CD1874D525E7C670F86B8C43s5GFO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268</TotalTime>
  <Application>LibreOffice/7.3.2.2$Windows_X86_64 LibreOffice_project/49f2b1bff42cfccbd8f788c8dc32c1c309559be0</Application>
  <AppVersion>15.0000</AppVersion>
  <Pages>13</Pages>
  <Words>3950</Words>
  <Characters>32864</Characters>
  <CharactersWithSpaces>37055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2011-09-21T08:53:00Z</dcterms:created>
  <dc:creator>Admin</dc:creator>
  <dc:description/>
  <dc:language>ru-RU</dc:language>
  <cp:lastModifiedBy/>
  <cp:lastPrinted>2021-11-17T10:36:00Z</cp:lastPrinted>
  <dcterms:modified xsi:type="dcterms:W3CDTF">2022-03-16T13:59:35Z</dcterms:modified>
  <cp:revision>20</cp:revision>
  <dc:subject/>
  <dc:title/>
</cp:coreProperties>
</file>